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1D92" w:rsidRPr="009E1E53" w:rsidTr="00C03281">
        <w:tc>
          <w:tcPr>
            <w:tcW w:w="9350" w:type="dxa"/>
          </w:tcPr>
          <w:p w:rsidR="00B41D92" w:rsidRPr="009E1E53" w:rsidRDefault="00B41D92" w:rsidP="009E1E53">
            <w:pPr>
              <w:jc w:val="both"/>
              <w:rPr>
                <w:rFonts w:ascii="Cambria" w:hAnsi="Cambria"/>
                <w:color w:val="000000"/>
                <w:sz w:val="26"/>
                <w:szCs w:val="26"/>
                <w:lang w:val="tr-TR"/>
              </w:rPr>
            </w:pPr>
          </w:p>
        </w:tc>
      </w:tr>
      <w:tr w:rsidR="00B41D92" w:rsidRPr="009E1E53" w:rsidTr="00C03281">
        <w:tc>
          <w:tcPr>
            <w:tcW w:w="9350" w:type="dxa"/>
          </w:tcPr>
          <w:p w:rsidR="00B41D92" w:rsidRPr="009E1E53" w:rsidRDefault="00B41D92" w:rsidP="009E1E53">
            <w:pPr>
              <w:jc w:val="both"/>
              <w:rPr>
                <w:rFonts w:ascii="Cambria" w:hAnsi="Cambria"/>
                <w:color w:val="000000"/>
                <w:sz w:val="26"/>
                <w:szCs w:val="26"/>
                <w:lang w:val="tr-TR"/>
              </w:rPr>
            </w:pPr>
          </w:p>
        </w:tc>
      </w:tr>
      <w:tr w:rsidR="00B41D92" w:rsidRPr="009E1E53" w:rsidTr="00C03281">
        <w:tc>
          <w:tcPr>
            <w:tcW w:w="9350" w:type="dxa"/>
          </w:tcPr>
          <w:p w:rsidR="009E1E53" w:rsidRPr="002D6E2F" w:rsidRDefault="009E1E53" w:rsidP="002D6E2F">
            <w:pPr>
              <w:widowControl w:val="0"/>
              <w:jc w:val="center"/>
              <w:rPr>
                <w:rFonts w:ascii="Cambria" w:hAnsi="Cambria" w:cs="Calibri"/>
                <w:b/>
                <w:i/>
                <w:sz w:val="26"/>
                <w:szCs w:val="26"/>
              </w:rPr>
            </w:pPr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18-19 Eylül 2019 tarihlerinde gerçekleştirilen 12.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Ulusal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Aydınlatma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Kongresi’nin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son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oturumunda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gerçekleştirilen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panelde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kongrenin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bu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yılki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ana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teması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olan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“Türkiye’de Nitelikli Aydınlatma”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konusuna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genel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bir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görüş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oluşturma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amaçlanmıştır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. ATMK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Yönetim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Kurulu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Başkanı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Prof. Dr.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Sermin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Onaygil’in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moderatör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olduğu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panelde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Endüstri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Ürünü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Tasarımcısı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Aysun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Altındağ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, İTÜNOVA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Genel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Müdürü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Dr.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Ercan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Çitil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Elektrik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Mühendisi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Sabri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Günaydın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ve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Aydınlatma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Tasarımcısı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Y.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Mimar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Nergiz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Arifoğlu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panelist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olarak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yer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almışlardır</w:t>
            </w:r>
            <w:proofErr w:type="spellEnd"/>
            <w:r w:rsidRPr="002D6E2F">
              <w:rPr>
                <w:rFonts w:ascii="Cambria" w:hAnsi="Cambria" w:cs="Calibri"/>
                <w:b/>
                <w:i/>
                <w:sz w:val="26"/>
                <w:szCs w:val="26"/>
              </w:rPr>
              <w:t>.</w:t>
            </w:r>
          </w:p>
          <w:p w:rsidR="009E1E53" w:rsidRPr="009E1E53" w:rsidRDefault="009E1E53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  <w:p w:rsidR="009E1E53" w:rsidRPr="002D6E2F" w:rsidRDefault="009E1E53" w:rsidP="009E1E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</w:pPr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“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Eğitim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ve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İnsan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Kaynağı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başlığı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altında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aşağıdaki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görüşler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ifade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edilmiştir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.</w:t>
            </w:r>
          </w:p>
          <w:p w:rsidR="009E1E53" w:rsidRDefault="009E1E53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Aydınlatmanın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çok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disiplinli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alan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olduğu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üzerinde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durularak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mühendislik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mimarlık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içmimarlık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endüstri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ürünü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ilgili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eğitimin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vurgulanmıştır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Bu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mesleklerin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eğitim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programlarında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aydınlatmaya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ilişkin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bilgi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aktarımında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kurumlar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arası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farklılıklar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olduğu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belirtilerek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çalışanların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hangi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eğitim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kurumunda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hangi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dersleri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almış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olduklarının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önemli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olduğunun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altı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çizilmiştir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-Ge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çalışmalarında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yer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alabilecek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bilginin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şantiyede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montajı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yapabilecek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projeyi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okuyabilecek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nitelikte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elemanların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yetiştirilmesinin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gerekliliği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</w:p>
          <w:p w:rsidR="00897139" w:rsidRPr="009E1E53" w:rsidRDefault="00897139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  <w:p w:rsidR="009E1E53" w:rsidRPr="002D6E2F" w:rsidRDefault="009E1E53" w:rsidP="009E1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</w:pPr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“Nitelikli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Tasarım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konusunda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ürün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tasarımı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ve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proje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tasarımı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ele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alınmıştır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. </w:t>
            </w:r>
          </w:p>
          <w:p w:rsidR="009E1E53" w:rsidRPr="009E1E53" w:rsidRDefault="009E1E53" w:rsidP="009E1E53">
            <w:pPr>
              <w:jc w:val="both"/>
              <w:rPr>
                <w:rFonts w:ascii="Cambria" w:hAnsi="Cambria" w:cs="Calibri"/>
                <w:sz w:val="26"/>
                <w:szCs w:val="26"/>
              </w:rPr>
            </w:pP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Ürün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tasarımında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mekanik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ısıl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optik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elektronik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boyutların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göz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önüne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alınmasının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gerekliliği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üzerinde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durularak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ürünün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kullanılacağı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yerin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tasarım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aşamasındaki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önemi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belirtilmiştir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. Aydınlatma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aygıtı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tasarımında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ile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estetiğin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en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uygun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biçimde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bütünleştirilmesine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dikkat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çekilerek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ilgili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standartlar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gündeme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/>
                <w:sz w:val="26"/>
                <w:szCs w:val="26"/>
              </w:rPr>
              <w:t>getirilmiştir</w:t>
            </w:r>
            <w:proofErr w:type="spellEnd"/>
            <w:r w:rsidRPr="009E1E53">
              <w:rPr>
                <w:rFonts w:ascii="Cambria" w:hAnsi="Cambria"/>
                <w:sz w:val="26"/>
                <w:szCs w:val="26"/>
              </w:rPr>
              <w:t xml:space="preserve">.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Üreticilerin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ürünlerini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piyasaya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sürmeden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önce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gerekli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testleri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yapmalarının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gerekliliği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ifade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edilmiş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KOSGEB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TÜBİTAK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destekleri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üzerinde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durularak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-Ge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çalışmalarının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vurgulanmıştır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 </w:t>
            </w:r>
          </w:p>
          <w:p w:rsidR="009E1E53" w:rsidRPr="009E1E53" w:rsidRDefault="009E1E53" w:rsidP="00897139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Proje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tasarımında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işveren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ofisi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arasındaki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diyaloğun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önemine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değinilerek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;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nitelikli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için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öncelikle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standartlara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gerekliliklere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aydınlatma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tekniğine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uygun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yapılması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gerektiği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Aydınlatma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lastRenderedPageBreak/>
              <w:t>tasarımı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şartname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taslağı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TS 17165’ın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önemine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değinilmiştir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  <w:bookmarkStart w:id="0" w:name="_gjdgxs" w:colFirst="0" w:colLast="0"/>
            <w:bookmarkStart w:id="1" w:name="_GoBack"/>
            <w:bookmarkEnd w:id="0"/>
            <w:bookmarkEnd w:id="1"/>
            <w:r w:rsidRPr="009E1E53">
              <w:rPr>
                <w:rFonts w:ascii="Cambria" w:hAnsi="Cambria" w:cs="Calibri"/>
                <w:sz w:val="26"/>
                <w:szCs w:val="26"/>
              </w:rPr>
              <w:t xml:space="preserve">Aydınlatma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tasarımında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verilen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hizmetin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projelendirme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detaylı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özellik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belirten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şartname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hazırlanma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aşaması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ile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mesleki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danışmanlık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kontrol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olmak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üzere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iki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aşamalı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olduğu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belirtilerek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uygulamayı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yürütmede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de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etkin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yetkin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ekibin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gerekliliği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üzerinde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durulmuştur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</w:p>
          <w:p w:rsidR="009E1E53" w:rsidRPr="009E1E53" w:rsidRDefault="009E1E53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  <w:p w:rsidR="009E1E53" w:rsidRPr="002D6E2F" w:rsidRDefault="009E1E53" w:rsidP="009E1E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</w:pPr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“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Dünya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Standartlarında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Üretim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konusunda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panelistler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üretim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sürecinde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tasarımcı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ile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üreticinin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işbirliğinin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önemini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vurgulayarak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ülkemize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katkı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sağlayacak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teknolojik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yerli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ve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milli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üretimin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gerçekleştirilebilmesine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ilişkin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görüşlerini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iletmişlerdir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.</w:t>
            </w:r>
          </w:p>
          <w:p w:rsidR="009E1E53" w:rsidRDefault="009E1E53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  <w:r w:rsidRPr="009E1E53">
              <w:rPr>
                <w:rFonts w:ascii="Cambria" w:hAnsi="Cambria" w:cs="Calibri"/>
                <w:sz w:val="26"/>
                <w:szCs w:val="26"/>
              </w:rPr>
              <w:t xml:space="preserve">Sanayi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Teknoloji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Bakanlığı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2023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hedeflerine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dikkat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çekilerek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akıllı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şehir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bina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teknolojisi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ile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otomasyon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sistemlerinin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güncelliği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vurgulanmıştır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Üreticilerin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katalog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hazırlama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konusuna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vermeleri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katalogların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doğru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teknik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verileri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içermesi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gerektiği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belirtilmiş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bunun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için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de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akredite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laboratuvarların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önemine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değinilmiştir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</w:p>
          <w:p w:rsidR="002D6E2F" w:rsidRPr="009E1E53" w:rsidRDefault="002D6E2F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  <w:p w:rsidR="009E1E53" w:rsidRPr="002D6E2F" w:rsidRDefault="009E1E53" w:rsidP="009E1E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</w:pPr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“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Satış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ve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Tüketici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Bilinci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başlığı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altında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ürün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kataloglarının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tüketiciyi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bilinçlendirecek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biçimde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hazırlanmasının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önemine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dikkat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çekilerek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bu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kapsamda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laboratuvar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ölçümlerinin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gerekliliği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>belirtilmiştir</w:t>
            </w:r>
            <w:proofErr w:type="spellEnd"/>
            <w:r w:rsidRPr="002D6E2F">
              <w:rPr>
                <w:rFonts w:ascii="Cambria" w:hAnsi="Cambria" w:cs="Calibri"/>
                <w:b/>
                <w:i/>
                <w:color w:val="000000"/>
                <w:sz w:val="26"/>
                <w:szCs w:val="26"/>
              </w:rPr>
              <w:t xml:space="preserve">.  </w:t>
            </w:r>
          </w:p>
          <w:p w:rsidR="009E1E53" w:rsidRPr="009E1E53" w:rsidRDefault="009E1E53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Tasarımcı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ile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üretici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firmanın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katalog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hazırlama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,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reklam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pazarlama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faaliyetlerinde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birlikte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çalışmalarının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yararları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üzerinde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durulmuştur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Satış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personelinin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bilgilendirilmesinin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önemi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belirtilmiştir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Pazarlama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satış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açısından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ulusal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ve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uluslararası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yarışmaların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olumlu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katkısına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proofErr w:type="spellStart"/>
            <w:r w:rsidRPr="009E1E53">
              <w:rPr>
                <w:rFonts w:ascii="Cambria" w:hAnsi="Cambria" w:cs="Calibri"/>
                <w:sz w:val="26"/>
                <w:szCs w:val="26"/>
              </w:rPr>
              <w:t>değinilmiştir</w:t>
            </w:r>
            <w:proofErr w:type="spellEnd"/>
            <w:r w:rsidRPr="009E1E53">
              <w:rPr>
                <w:rFonts w:ascii="Cambria" w:hAnsi="Cambria" w:cs="Calibri"/>
                <w:sz w:val="26"/>
                <w:szCs w:val="26"/>
              </w:rPr>
              <w:t xml:space="preserve">. </w:t>
            </w:r>
          </w:p>
          <w:p w:rsidR="009E1E53" w:rsidRPr="009E1E53" w:rsidRDefault="009E1E53" w:rsidP="009E1E53">
            <w:pPr>
              <w:widowControl w:val="0"/>
              <w:jc w:val="both"/>
              <w:rPr>
                <w:rFonts w:ascii="Cambria" w:hAnsi="Cambria" w:cs="Calibri"/>
                <w:sz w:val="26"/>
                <w:szCs w:val="26"/>
              </w:rPr>
            </w:pPr>
          </w:p>
          <w:p w:rsidR="00B41D92" w:rsidRPr="009E1E53" w:rsidRDefault="00B41D92" w:rsidP="009E1E53">
            <w:pPr>
              <w:jc w:val="both"/>
              <w:rPr>
                <w:rFonts w:ascii="Cambria" w:hAnsi="Cambria"/>
                <w:color w:val="000000"/>
                <w:sz w:val="26"/>
                <w:szCs w:val="26"/>
                <w:lang w:val="tr-TR"/>
              </w:rPr>
            </w:pPr>
          </w:p>
        </w:tc>
      </w:tr>
      <w:tr w:rsidR="00B41D92" w:rsidRPr="009E1E53" w:rsidTr="00C03281">
        <w:tc>
          <w:tcPr>
            <w:tcW w:w="9350" w:type="dxa"/>
          </w:tcPr>
          <w:p w:rsidR="009F21D8" w:rsidRPr="009E1E53" w:rsidRDefault="00B41D92" w:rsidP="002D6E2F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tr-TR"/>
              </w:rPr>
            </w:pPr>
            <w:r w:rsidRPr="009E1E53">
              <w:rPr>
                <w:rFonts w:ascii="Cambria" w:hAnsi="Cambria"/>
                <w:noProof/>
                <w:color w:val="000000"/>
                <w:sz w:val="26"/>
                <w:szCs w:val="26"/>
                <w:lang w:val="tr-TR"/>
              </w:rPr>
              <w:lastRenderedPageBreak/>
              <w:drawing>
                <wp:inline distT="0" distB="0" distL="0" distR="0" wp14:anchorId="3989F5F5" wp14:editId="2B1F8D5D">
                  <wp:extent cx="736404" cy="771782"/>
                  <wp:effectExtent l="0" t="0" r="6985" b="0"/>
                  <wp:docPr id="4112" name="Picture 20" descr="C:\ATMK\kurumsal\ATMK logo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20" descr="C:\ATMK\kurumsal\ATMK logo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8592" t="34441" r="29086" b="34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24" cy="78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D92" w:rsidRPr="009E1E53" w:rsidTr="00C03281">
        <w:tc>
          <w:tcPr>
            <w:tcW w:w="9350" w:type="dxa"/>
          </w:tcPr>
          <w:p w:rsidR="00B41D92" w:rsidRPr="009E1E53" w:rsidRDefault="009F21D8" w:rsidP="002D6E2F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tr-TR"/>
              </w:rPr>
            </w:pPr>
            <w:r w:rsidRPr="009E1E53">
              <w:rPr>
                <w:rFonts w:ascii="Cambria" w:hAnsi="Cambria"/>
                <w:color w:val="000000"/>
                <w:sz w:val="26"/>
                <w:szCs w:val="26"/>
                <w:lang w:val="tr-TR"/>
              </w:rPr>
              <w:t>www.atmk.org.tr</w:t>
            </w:r>
          </w:p>
        </w:tc>
      </w:tr>
      <w:tr w:rsidR="00B41D92" w:rsidRPr="009E1E53" w:rsidTr="00C03281">
        <w:tc>
          <w:tcPr>
            <w:tcW w:w="9350" w:type="dxa"/>
          </w:tcPr>
          <w:p w:rsidR="00B41D92" w:rsidRPr="009E1E53" w:rsidRDefault="00B41D92" w:rsidP="002D6E2F">
            <w:pPr>
              <w:jc w:val="center"/>
              <w:rPr>
                <w:rFonts w:ascii="Cambria" w:hAnsi="Cambria"/>
                <w:color w:val="000000"/>
                <w:sz w:val="26"/>
                <w:szCs w:val="26"/>
                <w:lang w:val="tr-TR"/>
              </w:rPr>
            </w:pPr>
            <w:r w:rsidRPr="009E1E53">
              <w:rPr>
                <w:rFonts w:ascii="Cambria" w:hAnsi="Cambria"/>
                <w:noProof/>
                <w:color w:val="000000"/>
                <w:sz w:val="26"/>
                <w:szCs w:val="26"/>
                <w:lang w:val="tr-TR"/>
              </w:rPr>
              <w:drawing>
                <wp:inline distT="0" distB="0" distL="0" distR="0" wp14:anchorId="5BFF5DF6" wp14:editId="6EC49017">
                  <wp:extent cx="228600" cy="228600"/>
                  <wp:effectExtent l="0" t="0" r="0" b="0"/>
                  <wp:docPr id="4109" name="Picture 17" descr="http://www.na-lightstyle.com/img/s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Picture 17" descr="http://www.na-lightstyle.com/img/s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E53">
              <w:rPr>
                <w:rFonts w:ascii="Cambria" w:hAnsi="Cambria"/>
                <w:noProof/>
                <w:color w:val="000000"/>
                <w:sz w:val="26"/>
                <w:szCs w:val="26"/>
                <w:lang w:val="tr-TR"/>
              </w:rPr>
              <w:drawing>
                <wp:inline distT="0" distB="0" distL="0" distR="0" wp14:anchorId="2F61D4EE" wp14:editId="57328441">
                  <wp:extent cx="228600" cy="228600"/>
                  <wp:effectExtent l="0" t="0" r="0" b="0"/>
                  <wp:docPr id="4108" name="Picture 15" descr="http://www.na-lightstyle.com/img/s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 15" descr="http://www.na-lightstyle.com/img/s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E53">
              <w:rPr>
                <w:rFonts w:ascii="Cambria" w:hAnsi="Cambria"/>
                <w:noProof/>
                <w:sz w:val="26"/>
                <w:szCs w:val="26"/>
                <w:lang w:val="tr-TR" w:eastAsia="tr-TR"/>
              </w:rPr>
              <w:drawing>
                <wp:inline distT="0" distB="0" distL="0" distR="0" wp14:anchorId="3F56A4E0" wp14:editId="79FFFBEA">
                  <wp:extent cx="228600" cy="228600"/>
                  <wp:effectExtent l="0" t="0" r="0" b="0"/>
                  <wp:docPr id="4110" name="Picture 19" descr="http://www.na-lightstyle.com/img/s_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19" descr="http://www.na-lightstyle.com/img/s_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E53">
              <w:rPr>
                <w:rFonts w:ascii="Cambria" w:hAnsi="Cambria"/>
                <w:noProof/>
                <w:sz w:val="26"/>
                <w:szCs w:val="26"/>
                <w:lang w:val="tr-TR" w:eastAsia="tr-TR"/>
              </w:rPr>
              <w:drawing>
                <wp:inline distT="0" distB="0" distL="0" distR="0" wp14:anchorId="4642B3DF" wp14:editId="2011363B">
                  <wp:extent cx="236855" cy="236855"/>
                  <wp:effectExtent l="0" t="0" r="0" b="0"/>
                  <wp:docPr id="4" name="Resim 4" descr="twitter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7240" cy="23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D9F" w:rsidRPr="009E1E53" w:rsidRDefault="00AD2D9F" w:rsidP="002D6E2F">
      <w:pPr>
        <w:jc w:val="center"/>
        <w:rPr>
          <w:rFonts w:ascii="Cambria" w:hAnsi="Cambria"/>
          <w:sz w:val="26"/>
          <w:szCs w:val="26"/>
          <w:lang w:val="tr-TR"/>
        </w:rPr>
      </w:pPr>
    </w:p>
    <w:sectPr w:rsidR="00AD2D9F" w:rsidRPr="009E1E5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F4" w:rsidRDefault="00111AF4" w:rsidP="00B41D92">
      <w:pPr>
        <w:spacing w:after="0" w:line="240" w:lineRule="auto"/>
      </w:pPr>
      <w:r>
        <w:separator/>
      </w:r>
    </w:p>
  </w:endnote>
  <w:endnote w:type="continuationSeparator" w:id="0">
    <w:p w:rsidR="00111AF4" w:rsidRDefault="00111AF4" w:rsidP="00B4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F4" w:rsidRDefault="00111AF4" w:rsidP="00B41D92">
      <w:pPr>
        <w:spacing w:after="0" w:line="240" w:lineRule="auto"/>
      </w:pPr>
      <w:r>
        <w:separator/>
      </w:r>
    </w:p>
  </w:footnote>
  <w:footnote w:type="continuationSeparator" w:id="0">
    <w:p w:rsidR="00111AF4" w:rsidRDefault="00111AF4" w:rsidP="00B4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D92" w:rsidRDefault="00B41D92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1"/>
      <w:gridCol w:w="7119"/>
    </w:tblGrid>
    <w:tr w:rsidR="00B41D92" w:rsidTr="00B41D92">
      <w:tc>
        <w:tcPr>
          <w:tcW w:w="1980" w:type="dxa"/>
        </w:tcPr>
        <w:p w:rsidR="00B41D92" w:rsidRDefault="00B41D92" w:rsidP="00B41D92">
          <w:pPr>
            <w:rPr>
              <w:rFonts w:ascii="Verdana" w:hAnsi="Verdana"/>
              <w:color w:val="000000"/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8A73E44" wp14:editId="630C6F59">
                <wp:extent cx="1285875" cy="1347696"/>
                <wp:effectExtent l="0" t="0" r="0" b="5080"/>
                <wp:docPr id="2" name="Picture 20" descr="C:\ATMK\kurumsal\ATMK logo-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1" name="Picture 20" descr="C:\ATMK\kurumsal\ATMK logo-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8592" t="34441" r="29086" b="342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544" cy="137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9E1E53" w:rsidRDefault="009E1E53" w:rsidP="009E1E53">
          <w:pPr>
            <w:widowControl w:val="0"/>
            <w:jc w:val="right"/>
            <w:rPr>
              <w:rFonts w:ascii="Cambria" w:hAnsi="Cambria" w:cs="Calibri"/>
              <w:b/>
              <w:i/>
              <w:color w:val="222222"/>
              <w:sz w:val="36"/>
              <w:szCs w:val="36"/>
              <w:shd w:val="clear" w:color="auto" w:fill="FFFFFF"/>
            </w:rPr>
          </w:pPr>
          <w:r w:rsidRPr="009E1E53">
            <w:rPr>
              <w:rFonts w:ascii="Cambria" w:hAnsi="Cambria" w:cs="Calibri"/>
              <w:b/>
              <w:i/>
              <w:color w:val="222222"/>
              <w:sz w:val="36"/>
              <w:szCs w:val="36"/>
              <w:u w:val="single"/>
              <w:shd w:val="clear" w:color="auto" w:fill="FFFFFF"/>
            </w:rPr>
            <w:t>KONGRENİN ARDINDAN</w:t>
          </w:r>
          <w:r w:rsidRPr="00624523">
            <w:rPr>
              <w:rFonts w:ascii="Cambria" w:hAnsi="Cambria" w:cs="Calibri"/>
              <w:b/>
              <w:i/>
              <w:color w:val="222222"/>
              <w:sz w:val="36"/>
              <w:szCs w:val="36"/>
              <w:shd w:val="clear" w:color="auto" w:fill="FFFFFF"/>
            </w:rPr>
            <w:t xml:space="preserve">: </w:t>
          </w:r>
        </w:p>
        <w:p w:rsidR="009E1E53" w:rsidRDefault="009E1E53" w:rsidP="009E1E53">
          <w:pPr>
            <w:widowControl w:val="0"/>
            <w:jc w:val="right"/>
            <w:rPr>
              <w:rFonts w:ascii="Cambria" w:hAnsi="Cambria" w:cs="Calibri"/>
              <w:b/>
              <w:i/>
              <w:color w:val="222222"/>
              <w:sz w:val="36"/>
              <w:szCs w:val="36"/>
              <w:shd w:val="clear" w:color="auto" w:fill="FFFFFF"/>
            </w:rPr>
          </w:pPr>
        </w:p>
        <w:p w:rsidR="00B41D92" w:rsidRPr="009E1E53" w:rsidRDefault="009E1E53" w:rsidP="009E1E53">
          <w:pPr>
            <w:widowControl w:val="0"/>
            <w:jc w:val="right"/>
            <w:rPr>
              <w:rFonts w:ascii="Cambria" w:hAnsi="Cambria" w:cs="Calibri"/>
              <w:b/>
              <w:i/>
              <w:sz w:val="36"/>
              <w:szCs w:val="36"/>
            </w:rPr>
          </w:pPr>
          <w:r w:rsidRPr="00624523">
            <w:rPr>
              <w:rFonts w:ascii="Cambria" w:hAnsi="Cambria" w:cs="Calibri"/>
              <w:b/>
              <w:i/>
              <w:color w:val="222222"/>
              <w:sz w:val="36"/>
              <w:szCs w:val="36"/>
              <w:shd w:val="clear" w:color="auto" w:fill="FFFFFF"/>
            </w:rPr>
            <w:t>“Türkiye’de Nitelikli Aydınlatma” PANELİNDE NELER KONUŞULDU?</w:t>
          </w:r>
        </w:p>
      </w:tc>
    </w:tr>
  </w:tbl>
  <w:p w:rsidR="00B41D92" w:rsidRDefault="00B41D92" w:rsidP="009E1E53">
    <w:pPr>
      <w:pStyle w:val="stBilgi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151F"/>
    <w:multiLevelType w:val="multilevel"/>
    <w:tmpl w:val="EE8E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0F4"/>
    <w:multiLevelType w:val="hybridMultilevel"/>
    <w:tmpl w:val="FD0C4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3"/>
    <w:rsid w:val="000021B9"/>
    <w:rsid w:val="00052E50"/>
    <w:rsid w:val="00074E04"/>
    <w:rsid w:val="00092D77"/>
    <w:rsid w:val="000F3CD7"/>
    <w:rsid w:val="001101D3"/>
    <w:rsid w:val="00111AF4"/>
    <w:rsid w:val="001219A4"/>
    <w:rsid w:val="0023620D"/>
    <w:rsid w:val="00236ADF"/>
    <w:rsid w:val="002D6E2F"/>
    <w:rsid w:val="002F0076"/>
    <w:rsid w:val="00342BDB"/>
    <w:rsid w:val="00361456"/>
    <w:rsid w:val="00384580"/>
    <w:rsid w:val="00391A67"/>
    <w:rsid w:val="004027FA"/>
    <w:rsid w:val="00431555"/>
    <w:rsid w:val="00441A99"/>
    <w:rsid w:val="004D493E"/>
    <w:rsid w:val="00557A95"/>
    <w:rsid w:val="00590489"/>
    <w:rsid w:val="005D0FFE"/>
    <w:rsid w:val="005F122A"/>
    <w:rsid w:val="006D3AE8"/>
    <w:rsid w:val="007362F3"/>
    <w:rsid w:val="0074234F"/>
    <w:rsid w:val="00760F74"/>
    <w:rsid w:val="0085767A"/>
    <w:rsid w:val="008629D3"/>
    <w:rsid w:val="00897139"/>
    <w:rsid w:val="009564B0"/>
    <w:rsid w:val="00961ADA"/>
    <w:rsid w:val="00982455"/>
    <w:rsid w:val="009E1E53"/>
    <w:rsid w:val="009F21D8"/>
    <w:rsid w:val="00A95BB7"/>
    <w:rsid w:val="00AC6511"/>
    <w:rsid w:val="00AD2D9F"/>
    <w:rsid w:val="00B41D92"/>
    <w:rsid w:val="00BB27F5"/>
    <w:rsid w:val="00BF6D0D"/>
    <w:rsid w:val="00C03281"/>
    <w:rsid w:val="00CB5C49"/>
    <w:rsid w:val="00D019AA"/>
    <w:rsid w:val="00D349F2"/>
    <w:rsid w:val="00D64960"/>
    <w:rsid w:val="00D91901"/>
    <w:rsid w:val="00D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25BA"/>
  <w15:chartTrackingRefBased/>
  <w15:docId w15:val="{C0CDD10E-48D8-4663-B3B1-141DFAA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2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Default">
    <w:name w:val="Default"/>
    <w:rsid w:val="00361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45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D92"/>
  </w:style>
  <w:style w:type="paragraph" w:styleId="AltBilgi">
    <w:name w:val="footer"/>
    <w:basedOn w:val="Normal"/>
    <w:link w:val="AltBilgiChar"/>
    <w:uiPriority w:val="99"/>
    <w:unhideWhenUsed/>
    <w:rsid w:val="00B4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D92"/>
  </w:style>
  <w:style w:type="table" w:styleId="TabloKlavuzu">
    <w:name w:val="Table Grid"/>
    <w:basedOn w:val="NormalTablo"/>
    <w:uiPriority w:val="39"/>
    <w:rsid w:val="00B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AKKAYA Zeynep</dc:creator>
  <cp:keywords/>
  <dc:description/>
  <cp:lastModifiedBy>ATMK</cp:lastModifiedBy>
  <cp:revision>3</cp:revision>
  <dcterms:created xsi:type="dcterms:W3CDTF">2020-01-07T10:35:00Z</dcterms:created>
  <dcterms:modified xsi:type="dcterms:W3CDTF">2020-01-07T10:38:00Z</dcterms:modified>
</cp:coreProperties>
</file>